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C06A">
      <w:pPr>
        <w:spacing w:line="600" w:lineRule="exact"/>
        <w:jc w:val="center"/>
        <w:outlineLvl w:val="0"/>
        <w:rPr>
          <w:rFonts w:ascii="微软雅黑" w:hAnsi="微软雅黑" w:eastAsia="微软雅黑" w:cs="微软雅黑"/>
          <w:color w:val="000000" w:themeColor="text1"/>
          <w:sz w:val="37"/>
          <w:szCs w:val="37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pacing w:val="1"/>
          <w:sz w:val="37"/>
          <w:szCs w:val="37"/>
          <w14:textFill>
            <w14:solidFill>
              <w14:schemeClr w14:val="tx1"/>
            </w14:solidFill>
          </w14:textFill>
        </w:rPr>
        <w:t>自贡能源发展集团有限公司</w:t>
      </w:r>
      <w:r>
        <w:rPr>
          <w:rFonts w:eastAsia="微软雅黑"/>
          <w:color w:val="000000" w:themeColor="text1"/>
          <w:spacing w:val="1"/>
          <w:sz w:val="37"/>
          <w:szCs w:val="37"/>
          <w14:textFill>
            <w14:solidFill>
              <w14:schemeClr w14:val="tx1"/>
            </w14:solidFill>
          </w14:textFill>
        </w:rPr>
        <w:t>2026</w:t>
      </w:r>
      <w:r>
        <w:rPr>
          <w:rFonts w:ascii="微软雅黑" w:hAnsi="微软雅黑" w:eastAsia="微软雅黑" w:cs="微软雅黑"/>
          <w:color w:val="000000" w:themeColor="text1"/>
          <w:spacing w:val="1"/>
          <w:sz w:val="37"/>
          <w:szCs w:val="37"/>
          <w14:textFill>
            <w14:solidFill>
              <w14:schemeClr w14:val="tx1"/>
            </w14:solidFill>
          </w14:textFill>
        </w:rPr>
        <w:t>年员工</w:t>
      </w:r>
      <w:r>
        <w:rPr>
          <w:rFonts w:hint="eastAsia" w:ascii="微软雅黑" w:hAnsi="微软雅黑" w:eastAsia="微软雅黑" w:cs="微软雅黑"/>
          <w:color w:val="000000" w:themeColor="text1"/>
          <w:spacing w:val="1"/>
          <w:sz w:val="37"/>
          <w:szCs w:val="37"/>
          <w14:textFill>
            <w14:solidFill>
              <w14:schemeClr w14:val="tx1"/>
            </w14:solidFill>
          </w14:textFill>
        </w:rPr>
        <w:t>社会</w:t>
      </w:r>
      <w:r>
        <w:rPr>
          <w:rFonts w:ascii="微软雅黑" w:hAnsi="微软雅黑" w:eastAsia="微软雅黑" w:cs="微软雅黑"/>
          <w:color w:val="000000" w:themeColor="text1"/>
          <w:spacing w:val="1"/>
          <w:sz w:val="37"/>
          <w:szCs w:val="37"/>
          <w14:textFill>
            <w14:solidFill>
              <w14:schemeClr w14:val="tx1"/>
            </w14:solidFill>
          </w14:textFill>
        </w:rPr>
        <w:t>招聘岗位汇总表</w:t>
      </w:r>
    </w:p>
    <w:p w14:paraId="7D986CB3">
      <w:pPr>
        <w:spacing w:line="164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5370" w:type="pct"/>
        <w:jc w:val="center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356"/>
        <w:gridCol w:w="760"/>
        <w:gridCol w:w="4157"/>
        <w:gridCol w:w="1073"/>
        <w:gridCol w:w="977"/>
        <w:gridCol w:w="1313"/>
        <w:gridCol w:w="3291"/>
        <w:gridCol w:w="1238"/>
      </w:tblGrid>
      <w:tr w14:paraId="138AB1CA">
        <w:trPr>
          <w:trHeight w:val="508" w:hRule="atLeast"/>
          <w:jc w:val="center"/>
        </w:trPr>
        <w:tc>
          <w:tcPr>
            <w:tcW w:w="284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36D62A35">
            <w:pPr>
              <w:spacing w:before="74" w:line="223" w:lineRule="auto"/>
              <w:ind w:left="137"/>
              <w:rPr>
                <w:rFonts w:ascii="黑体" w:hAnsi="黑体" w:eastAsia="黑体" w:cs="黑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4" w:type="pct"/>
            <w:gridSpan w:val="2"/>
            <w:shd w:val="clear" w:color="auto" w:fill="D9D9D9"/>
          </w:tcPr>
          <w:p w14:paraId="53EBDE90">
            <w:pPr>
              <w:spacing w:before="40" w:line="240" w:lineRule="exact"/>
              <w:ind w:left="201" w:right="59" w:hanging="118"/>
              <w:jc w:val="center"/>
              <w:rPr>
                <w:rFonts w:ascii="黑体" w:hAnsi="黑体" w:eastAsia="黑体" w:cs="黑体"/>
                <w:color w:val="000000" w:themeColor="text1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383" w:type="pct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7352E86D">
            <w:pPr>
              <w:spacing w:before="74" w:line="240" w:lineRule="exact"/>
              <w:jc w:val="center"/>
              <w:rPr>
                <w:rFonts w:ascii="黑体" w:hAnsi="黑体" w:eastAsia="黑体" w:cs="黑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-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2214" w:type="pct"/>
            <w:gridSpan w:val="4"/>
            <w:shd w:val="clear" w:color="auto" w:fill="D9D9D9"/>
            <w:vAlign w:val="center"/>
          </w:tcPr>
          <w:p w14:paraId="253F83C6">
            <w:pPr>
              <w:spacing w:before="46" w:line="240" w:lineRule="exact"/>
              <w:jc w:val="center"/>
              <w:rPr>
                <w:rFonts w:ascii="黑体" w:hAnsi="黑体" w:eastAsia="黑体" w:cs="黑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任职</w:t>
            </w:r>
            <w:r>
              <w:rPr>
                <w:rFonts w:ascii="黑体" w:hAnsi="黑体" w:eastAsia="黑体" w:cs="黑体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条件要求</w:t>
            </w:r>
          </w:p>
        </w:tc>
        <w:tc>
          <w:tcPr>
            <w:tcW w:w="412" w:type="pct"/>
            <w:vMerge w:val="restart"/>
            <w:shd w:val="clear" w:color="auto" w:fill="D9D9D9"/>
            <w:vAlign w:val="center"/>
          </w:tcPr>
          <w:p w14:paraId="1D021436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99F3B08">
        <w:trPr>
          <w:trHeight w:val="611" w:hRule="atLeast"/>
          <w:jc w:val="center"/>
        </w:trPr>
        <w:tc>
          <w:tcPr>
            <w:tcW w:w="284" w:type="pct"/>
            <w:vMerge w:val="continue"/>
            <w:tcBorders>
              <w:top w:val="nil"/>
            </w:tcBorders>
            <w:shd w:val="clear" w:color="auto" w:fill="auto"/>
          </w:tcPr>
          <w:p w14:paraId="2CD64C82">
            <w:pPr>
              <w:pStyle w:val="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1" w:type="pct"/>
            <w:shd w:val="clear" w:color="auto" w:fill="D9D9D9"/>
            <w:vAlign w:val="center"/>
          </w:tcPr>
          <w:p w14:paraId="2964FAB2">
            <w:pPr>
              <w:spacing w:before="40" w:line="240" w:lineRule="exact"/>
              <w:ind w:left="201" w:right="59" w:hanging="118"/>
              <w:jc w:val="center"/>
              <w:rPr>
                <w:rFonts w:ascii="黑体" w:hAnsi="黑体" w:eastAsia="黑体" w:cs="黑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576A4874">
            <w:pPr>
              <w:spacing w:before="40" w:line="240" w:lineRule="exact"/>
              <w:ind w:left="201" w:right="59" w:hanging="118"/>
              <w:jc w:val="center"/>
              <w:rPr>
                <w:rFonts w:ascii="黑体" w:hAnsi="黑体" w:eastAsia="黑体" w:cs="黑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387CA897">
            <w:pPr>
              <w:spacing w:before="40" w:line="240" w:lineRule="exact"/>
              <w:ind w:left="201" w:right="59" w:hanging="118"/>
              <w:jc w:val="center"/>
              <w:rPr>
                <w:rFonts w:ascii="黑体" w:hAnsi="黑体" w:eastAsia="黑体" w:cs="黑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383" w:type="pct"/>
            <w:vMerge w:val="continue"/>
            <w:tcBorders>
              <w:top w:val="nil"/>
            </w:tcBorders>
            <w:shd w:val="clear" w:color="auto" w:fill="auto"/>
          </w:tcPr>
          <w:p w14:paraId="68BCEDA2">
            <w:pPr>
              <w:pStyle w:val="5"/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shd w:val="clear" w:color="auto" w:fill="D9D9D9"/>
          </w:tcPr>
          <w:p w14:paraId="557D899E">
            <w:pPr>
              <w:spacing w:before="179" w:line="240" w:lineRule="exact"/>
              <w:ind w:firstLine="222" w:firstLineChars="100"/>
              <w:rPr>
                <w:rFonts w:ascii="黑体" w:hAnsi="黑体" w:eastAsia="黑体" w:cs="黑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25" w:type="pct"/>
            <w:shd w:val="clear" w:color="auto" w:fill="D9D9D9"/>
          </w:tcPr>
          <w:p w14:paraId="61CA7DF4">
            <w:pPr>
              <w:spacing w:before="179" w:line="240" w:lineRule="exact"/>
              <w:jc w:val="center"/>
              <w:rPr>
                <w:rFonts w:ascii="黑体" w:hAnsi="黑体" w:eastAsia="黑体" w:cs="黑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学历或</w:t>
            </w:r>
          </w:p>
          <w:p w14:paraId="5CB91548">
            <w:pPr>
              <w:spacing w:before="179" w:line="240" w:lineRule="exact"/>
              <w:jc w:val="center"/>
              <w:rPr>
                <w:rFonts w:ascii="黑体" w:hAnsi="黑体" w:eastAsia="黑体" w:cs="黑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37" w:type="pct"/>
            <w:shd w:val="clear" w:color="auto" w:fill="D9D9D9"/>
          </w:tcPr>
          <w:p w14:paraId="3881A197">
            <w:pPr>
              <w:spacing w:before="178" w:line="240" w:lineRule="exact"/>
              <w:ind w:firstLine="228" w:firstLineChars="100"/>
              <w:jc w:val="center"/>
              <w:rPr>
                <w:rFonts w:ascii="黑体" w:hAnsi="黑体" w:eastAsia="黑体" w:cs="黑体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专业条件</w:t>
            </w:r>
          </w:p>
          <w:p w14:paraId="388B4A12">
            <w:pPr>
              <w:spacing w:before="178" w:line="240" w:lineRule="exact"/>
              <w:ind w:firstLine="228" w:firstLineChars="100"/>
              <w:jc w:val="center"/>
              <w:rPr>
                <w:rFonts w:ascii="黑体" w:hAnsi="黑体" w:eastAsia="黑体" w:cs="黑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095" w:type="pct"/>
            <w:shd w:val="clear" w:color="auto" w:fill="D9D9D9"/>
          </w:tcPr>
          <w:p w14:paraId="141C7783">
            <w:pPr>
              <w:spacing w:before="178" w:line="240" w:lineRule="exact"/>
              <w:jc w:val="center"/>
              <w:rPr>
                <w:rFonts w:ascii="黑体" w:hAnsi="黑体" w:eastAsia="黑体" w:cs="黑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pacing w:val="-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12" w:type="pct"/>
            <w:vMerge w:val="continue"/>
            <w:shd w:val="clear" w:color="auto" w:fill="D9D9D9"/>
          </w:tcPr>
          <w:p w14:paraId="0EDBF551">
            <w:pPr>
              <w:spacing w:before="178" w:line="240" w:lineRule="exact"/>
              <w:ind w:left="2020"/>
              <w:rPr>
                <w:rFonts w:ascii="黑体" w:hAnsi="黑体" w:eastAsia="黑体" w:cs="黑体"/>
                <w:color w:val="000000" w:themeColor="text1"/>
                <w:spacing w:val="-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7E332">
        <w:trPr>
          <w:trHeight w:val="2465" w:hRule="atLeast"/>
          <w:jc w:val="center"/>
        </w:trPr>
        <w:tc>
          <w:tcPr>
            <w:tcW w:w="284" w:type="pct"/>
            <w:tcBorders>
              <w:bottom w:val="single" w:color="auto" w:sz="4" w:space="0"/>
            </w:tcBorders>
            <w:vAlign w:val="center"/>
          </w:tcPr>
          <w:p w14:paraId="7A43A1BD">
            <w:pPr>
              <w:spacing w:line="312" w:lineRule="exact"/>
              <w:jc w:val="center"/>
              <w:rPr>
                <w:rFonts w:ascii="楷体" w:hAnsi="楷体" w:eastAsia="楷体" w:cs="楷体"/>
                <w:color w:val="000000" w:themeColor="text1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bottom w:val="single" w:color="auto" w:sz="4" w:space="0"/>
            </w:tcBorders>
            <w:vAlign w:val="center"/>
          </w:tcPr>
          <w:p w14:paraId="13D106AA">
            <w:pPr>
              <w:spacing w:line="223" w:lineRule="auto"/>
              <w:jc w:val="center"/>
              <w:rPr>
                <w:rFonts w:ascii="楷体" w:hAnsi="楷体" w:eastAsia="楷体" w:cs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2DA861D4">
            <w:pPr>
              <w:spacing w:line="223" w:lineRule="auto"/>
              <w:jc w:val="center"/>
              <w:rPr>
                <w:rFonts w:ascii="楷体" w:hAnsi="楷体" w:eastAsia="楷体" w:cs="楷体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253" w:type="pct"/>
            <w:tcBorders>
              <w:bottom w:val="single" w:color="auto" w:sz="4" w:space="0"/>
            </w:tcBorders>
            <w:vAlign w:val="center"/>
          </w:tcPr>
          <w:p w14:paraId="21F39D7C">
            <w:pPr>
              <w:spacing w:line="312" w:lineRule="exact"/>
              <w:jc w:val="center"/>
              <w:rPr>
                <w:rFonts w:ascii="楷体" w:hAnsi="楷体" w:eastAsia="楷体" w:cs="楷体"/>
                <w:color w:val="000000" w:themeColor="text1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3" w:type="pct"/>
            <w:tcBorders>
              <w:bottom w:val="single" w:color="auto" w:sz="4" w:space="0"/>
            </w:tcBorders>
            <w:vAlign w:val="center"/>
          </w:tcPr>
          <w:p w14:paraId="0FCA81FF">
            <w:pPr>
              <w:numPr>
                <w:ilvl w:val="0"/>
                <w:numId w:val="1"/>
              </w:numPr>
              <w:spacing w:before="75" w:line="224" w:lineRule="auto"/>
              <w:ind w:right="224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在公司经营管理要求下，负责项目投资分析、尽职调查、可行性研究及收益测算；</w:t>
            </w:r>
          </w:p>
          <w:p w14:paraId="7BBE32E5">
            <w:pPr>
              <w:numPr>
                <w:ilvl w:val="0"/>
                <w:numId w:val="1"/>
              </w:numPr>
              <w:spacing w:before="75" w:line="224" w:lineRule="auto"/>
              <w:ind w:right="224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参与投资方案制定、商务谈判与投后跟踪管理；</w:t>
            </w:r>
          </w:p>
          <w:p w14:paraId="17F0005D">
            <w:pPr>
              <w:numPr>
                <w:ilvl w:val="0"/>
                <w:numId w:val="1"/>
              </w:numPr>
              <w:spacing w:before="75" w:line="224" w:lineRule="auto"/>
              <w:ind w:right="224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开展行业研究、风险评估，完成投资报告与数据汇总；</w:t>
            </w:r>
          </w:p>
          <w:p w14:paraId="26C118E4">
            <w:pPr>
              <w:numPr>
                <w:ilvl w:val="0"/>
                <w:numId w:val="1"/>
              </w:numPr>
              <w:spacing w:before="75" w:line="224" w:lineRule="auto"/>
              <w:ind w:right="224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协助完成投资流程合规、资料归档及相关协调工作。</w:t>
            </w:r>
          </w:p>
        </w:tc>
        <w:tc>
          <w:tcPr>
            <w:tcW w:w="357" w:type="pct"/>
            <w:tcBorders>
              <w:bottom w:val="single" w:color="auto" w:sz="4" w:space="0"/>
            </w:tcBorders>
            <w:vAlign w:val="center"/>
          </w:tcPr>
          <w:p w14:paraId="1678784A">
            <w:pPr>
              <w:spacing w:before="75" w:line="224" w:lineRule="auto"/>
              <w:ind w:right="224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25" w:type="pct"/>
            <w:tcBorders>
              <w:bottom w:val="single" w:color="auto" w:sz="4" w:space="0"/>
            </w:tcBorders>
            <w:vAlign w:val="center"/>
          </w:tcPr>
          <w:p w14:paraId="5DA9AA43">
            <w:pPr>
              <w:spacing w:before="75" w:line="224" w:lineRule="auto"/>
              <w:ind w:right="224"/>
              <w:jc w:val="center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全日制大学本科及以上学历</w:t>
            </w:r>
          </w:p>
        </w:tc>
        <w:tc>
          <w:tcPr>
            <w:tcW w:w="437" w:type="pct"/>
            <w:tcBorders>
              <w:bottom w:val="single" w:color="auto" w:sz="4" w:space="0"/>
            </w:tcBorders>
            <w:vAlign w:val="center"/>
          </w:tcPr>
          <w:p w14:paraId="73CD7CA0">
            <w:pPr>
              <w:spacing w:before="75" w:line="224" w:lineRule="auto"/>
              <w:ind w:right="224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经济学、金融学、会计学、能源、化工等专业。</w:t>
            </w:r>
          </w:p>
        </w:tc>
        <w:tc>
          <w:tcPr>
            <w:tcW w:w="1095" w:type="pct"/>
            <w:tcBorders>
              <w:bottom w:val="single" w:color="auto" w:sz="4" w:space="0"/>
            </w:tcBorders>
            <w:vAlign w:val="center"/>
          </w:tcPr>
          <w:p w14:paraId="1B929220">
            <w:pPr>
              <w:numPr>
                <w:ilvl w:val="0"/>
                <w:numId w:val="2"/>
              </w:numPr>
              <w:spacing w:line="240" w:lineRule="exact"/>
              <w:ind w:right="224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具有CPA、CFA、法律职业资格证者优先；</w:t>
            </w:r>
          </w:p>
          <w:p w14:paraId="27F4F972">
            <w:pPr>
              <w:numPr>
                <w:ilvl w:val="0"/>
                <w:numId w:val="2"/>
              </w:numPr>
              <w:spacing w:line="240" w:lineRule="exact"/>
              <w:ind w:right="224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全日制硕士研究生以上学历可适当放宽条件；</w:t>
            </w:r>
          </w:p>
          <w:p w14:paraId="5B6B2383">
            <w:pPr>
              <w:numPr>
                <w:ilvl w:val="0"/>
                <w:numId w:val="2"/>
              </w:numPr>
              <w:spacing w:line="240" w:lineRule="exact"/>
              <w:ind w:right="224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“双一流”“211计划”“985工程”全国重点建设高校大学本科毕业生可适当放宽条件；</w:t>
            </w:r>
          </w:p>
          <w:p w14:paraId="13AC523C">
            <w:pPr>
              <w:spacing w:line="240" w:lineRule="exact"/>
              <w:ind w:right="224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4.特别优秀者可适当放宽条件。</w:t>
            </w:r>
          </w:p>
          <w:p w14:paraId="18F46E53">
            <w:pPr>
              <w:spacing w:line="240" w:lineRule="exact"/>
              <w:ind w:right="224"/>
              <w:rPr>
                <w:rFonts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tcBorders>
              <w:bottom w:val="single" w:color="auto" w:sz="4" w:space="0"/>
            </w:tcBorders>
            <w:vAlign w:val="center"/>
          </w:tcPr>
          <w:p w14:paraId="2E68BA33">
            <w:pPr>
              <w:pStyle w:val="2"/>
              <w:jc w:val="center"/>
              <w:rPr>
                <w:rFonts w:hint="default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87AB7">
        <w:trPr>
          <w:trHeight w:val="2465" w:hRule="atLeast"/>
          <w:jc w:val="center"/>
        </w:trPr>
        <w:tc>
          <w:tcPr>
            <w:tcW w:w="284" w:type="pct"/>
            <w:vAlign w:val="center"/>
          </w:tcPr>
          <w:p w14:paraId="7EB496DB">
            <w:pPr>
              <w:spacing w:line="312" w:lineRule="exact"/>
              <w:jc w:val="center"/>
              <w:rPr>
                <w:rFonts w:ascii="楷体" w:hAnsi="楷体" w:eastAsia="楷体" w:cs="楷体"/>
                <w:color w:val="000000" w:themeColor="text1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vAlign w:val="center"/>
          </w:tcPr>
          <w:p w14:paraId="6F109DA9">
            <w:pPr>
              <w:spacing w:line="223" w:lineRule="auto"/>
              <w:jc w:val="center"/>
              <w:rPr>
                <w:rFonts w:ascii="楷体" w:hAnsi="楷体" w:eastAsia="楷体" w:cs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253" w:type="pct"/>
            <w:vAlign w:val="center"/>
          </w:tcPr>
          <w:p w14:paraId="4E565F07">
            <w:pPr>
              <w:spacing w:line="312" w:lineRule="exact"/>
              <w:jc w:val="center"/>
              <w:rPr>
                <w:rFonts w:ascii="楷体" w:hAnsi="楷体" w:eastAsia="楷体" w:cs="楷体"/>
                <w:color w:val="000000" w:themeColor="text1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3" w:type="pct"/>
            <w:vAlign w:val="center"/>
          </w:tcPr>
          <w:p w14:paraId="40D4BF2E">
            <w:pPr>
              <w:spacing w:line="223" w:lineRule="auto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1.负责按照工作要求完成相关业务会计核算，会计科目管理、复核工作；</w:t>
            </w:r>
          </w:p>
          <w:p w14:paraId="1ADC9773">
            <w:pPr>
              <w:spacing w:line="223" w:lineRule="auto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2.负责编制会计报表、财务分析报告；</w:t>
            </w:r>
          </w:p>
          <w:p w14:paraId="33DE0659">
            <w:pPr>
              <w:spacing w:line="223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3.负责对核算范围内经营业务进行分析；</w:t>
            </w:r>
          </w:p>
          <w:p w14:paraId="4661EAA4">
            <w:pPr>
              <w:spacing w:before="75" w:line="224" w:lineRule="auto"/>
              <w:ind w:right="224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4.负责职责范围内事务性工作，起草职责范围内文字材料等工作。</w:t>
            </w:r>
          </w:p>
        </w:tc>
        <w:tc>
          <w:tcPr>
            <w:tcW w:w="357" w:type="pct"/>
            <w:vAlign w:val="center"/>
          </w:tcPr>
          <w:p w14:paraId="0DB2E73A">
            <w:pPr>
              <w:spacing w:before="75" w:line="224" w:lineRule="auto"/>
              <w:ind w:right="224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ascii="楷体" w:hAnsi="楷体" w:eastAsia="楷体" w:cs="楷体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325" w:type="pct"/>
            <w:vAlign w:val="center"/>
          </w:tcPr>
          <w:p w14:paraId="2BC28B73">
            <w:pPr>
              <w:spacing w:before="75" w:line="224" w:lineRule="auto"/>
              <w:ind w:right="224"/>
              <w:jc w:val="center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全日制大学本科及以上学历</w:t>
            </w:r>
          </w:p>
        </w:tc>
        <w:tc>
          <w:tcPr>
            <w:tcW w:w="437" w:type="pct"/>
            <w:vAlign w:val="center"/>
          </w:tcPr>
          <w:p w14:paraId="75B9A2EF">
            <w:pPr>
              <w:spacing w:before="75" w:line="224" w:lineRule="auto"/>
              <w:ind w:right="224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财务管理、会计专业。</w:t>
            </w:r>
          </w:p>
        </w:tc>
        <w:tc>
          <w:tcPr>
            <w:tcW w:w="1095" w:type="pct"/>
            <w:vAlign w:val="center"/>
          </w:tcPr>
          <w:p w14:paraId="29B8D4C9">
            <w:pPr>
              <w:spacing w:line="240" w:lineRule="exact"/>
              <w:ind w:left="53" w:right="230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1.具有中级会计师职称优先。</w:t>
            </w:r>
          </w:p>
          <w:p w14:paraId="1C4BBC47">
            <w:pPr>
              <w:spacing w:line="240" w:lineRule="exact"/>
              <w:ind w:left="53" w:right="230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"/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2.全日制硕士研究生以上学历可适当放宽条件；</w:t>
            </w:r>
          </w:p>
          <w:p w14:paraId="2597A44A">
            <w:pPr>
              <w:spacing w:line="240" w:lineRule="exact"/>
              <w:ind w:right="224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3.“双一流”“211计划”“985工程”全国重点建设高校大学本科毕业生可适当放宽条件；</w:t>
            </w:r>
          </w:p>
          <w:p w14:paraId="5AA270DD">
            <w:pPr>
              <w:spacing w:line="240" w:lineRule="exact"/>
              <w:ind w:right="224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特别优秀者可适当放宽条件。</w:t>
            </w:r>
            <w:bookmarkEnd w:id="0"/>
          </w:p>
        </w:tc>
        <w:tc>
          <w:tcPr>
            <w:tcW w:w="412" w:type="pct"/>
            <w:vAlign w:val="center"/>
          </w:tcPr>
          <w:p w14:paraId="65A46EAC">
            <w:pPr>
              <w:pStyle w:val="2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013D5">
        <w:trPr>
          <w:trHeight w:val="2465" w:hRule="atLeast"/>
          <w:jc w:val="center"/>
        </w:trPr>
        <w:tc>
          <w:tcPr>
            <w:tcW w:w="284" w:type="pct"/>
            <w:tcBorders>
              <w:top w:val="single" w:color="auto" w:sz="4" w:space="0"/>
            </w:tcBorders>
            <w:vAlign w:val="center"/>
          </w:tcPr>
          <w:p w14:paraId="6882249F">
            <w:pPr>
              <w:spacing w:line="312" w:lineRule="exact"/>
              <w:jc w:val="center"/>
              <w:rPr>
                <w:rFonts w:ascii="黑体" w:hAnsi="黑体" w:eastAsia="黑体" w:cs="黑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" w:type="pct"/>
            <w:tcBorders>
              <w:top w:val="single" w:color="auto" w:sz="4" w:space="0"/>
            </w:tcBorders>
            <w:vAlign w:val="center"/>
          </w:tcPr>
          <w:p w14:paraId="48895F8C">
            <w:pPr>
              <w:spacing w:line="223" w:lineRule="auto"/>
              <w:jc w:val="center"/>
              <w:rPr>
                <w:rFonts w:ascii="楷体" w:hAnsi="楷体" w:eastAsia="楷体" w:cs="楷体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信息化建设与运维</w:t>
            </w:r>
          </w:p>
        </w:tc>
        <w:tc>
          <w:tcPr>
            <w:tcW w:w="253" w:type="pct"/>
            <w:tcBorders>
              <w:top w:val="single" w:color="auto" w:sz="4" w:space="0"/>
            </w:tcBorders>
            <w:vAlign w:val="center"/>
          </w:tcPr>
          <w:p w14:paraId="424133F5">
            <w:pPr>
              <w:spacing w:line="312" w:lineRule="exact"/>
              <w:jc w:val="center"/>
              <w:rPr>
                <w:rFonts w:ascii="楷体" w:hAnsi="楷体" w:eastAsia="楷体" w:cs="楷体"/>
                <w:color w:val="000000" w:themeColor="text1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3" w:type="pct"/>
            <w:tcBorders>
              <w:top w:val="single" w:color="auto" w:sz="4" w:space="0"/>
            </w:tcBorders>
            <w:vAlign w:val="center"/>
          </w:tcPr>
          <w:p w14:paraId="4891F711">
            <w:pPr>
              <w:spacing w:line="223" w:lineRule="auto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1.负责关注燃气行业信息化新技术，推动企业数字化转型，提出站场与管网信息化升级建议；</w:t>
            </w:r>
          </w:p>
          <w:p w14:paraId="05F0D8F9">
            <w:pPr>
              <w:spacing w:line="223" w:lineRule="auto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2.负责SCADA、GIS等核心信息系统日常运维，保障站场监控、管网数据采集等功能稳定运行；</w:t>
            </w:r>
          </w:p>
          <w:p w14:paraId="6C980999">
            <w:pPr>
              <w:spacing w:line="223" w:lineRule="auto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3.结合业务需求与行业标准，制定信息系统更新计划，提升信息化管理精度。</w:t>
            </w:r>
          </w:p>
          <w:p w14:paraId="69A26934">
            <w:pPr>
              <w:spacing w:line="223" w:lineRule="auto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4.负责统筹站场运营数据与管网数据的采集工作；</w:t>
            </w:r>
          </w:p>
          <w:p w14:paraId="5F8E9F9C">
            <w:pPr>
              <w:spacing w:line="223" w:lineRule="auto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5.负责为站场配气工、安全管理员、特种设备管理员及管网巡检团队提供信息技术支持，解答系统操作疑问。</w:t>
            </w:r>
          </w:p>
        </w:tc>
        <w:tc>
          <w:tcPr>
            <w:tcW w:w="357" w:type="pct"/>
            <w:tcBorders>
              <w:top w:val="single" w:color="auto" w:sz="4" w:space="0"/>
            </w:tcBorders>
            <w:vAlign w:val="center"/>
          </w:tcPr>
          <w:p w14:paraId="28CD1BD9">
            <w:pPr>
              <w:spacing w:before="75" w:line="224" w:lineRule="auto"/>
              <w:ind w:right="224"/>
              <w:rPr>
                <w:rFonts w:ascii="楷体" w:hAnsi="楷体" w:eastAsia="楷体" w:cs="楷体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25" w:type="pct"/>
            <w:tcBorders>
              <w:top w:val="single" w:color="auto" w:sz="4" w:space="0"/>
            </w:tcBorders>
            <w:vAlign w:val="center"/>
          </w:tcPr>
          <w:p w14:paraId="46B6598F">
            <w:pPr>
              <w:spacing w:before="75" w:line="224" w:lineRule="auto"/>
              <w:ind w:right="224"/>
              <w:jc w:val="center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全日制大学本科及以上学历</w:t>
            </w:r>
          </w:p>
        </w:tc>
        <w:tc>
          <w:tcPr>
            <w:tcW w:w="437" w:type="pct"/>
            <w:tcBorders>
              <w:top w:val="single" w:color="auto" w:sz="4" w:space="0"/>
            </w:tcBorders>
            <w:vAlign w:val="center"/>
          </w:tcPr>
          <w:p w14:paraId="4C1A407B">
            <w:pPr>
              <w:spacing w:before="75" w:line="224" w:lineRule="auto"/>
              <w:ind w:right="224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人工智能、数据科学、信息安全、网络工程、计算机技术等专业</w:t>
            </w:r>
          </w:p>
        </w:tc>
        <w:tc>
          <w:tcPr>
            <w:tcW w:w="1095" w:type="pct"/>
            <w:tcBorders>
              <w:top w:val="single" w:color="auto" w:sz="4" w:space="0"/>
            </w:tcBorders>
            <w:vAlign w:val="center"/>
          </w:tcPr>
          <w:p w14:paraId="25EBD442">
            <w:pPr>
              <w:spacing w:line="240" w:lineRule="exact"/>
              <w:ind w:left="53" w:right="230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1.全日制硕士研究生以上学历可适当放宽条件；</w:t>
            </w:r>
          </w:p>
          <w:p w14:paraId="4FC340DA">
            <w:pPr>
              <w:spacing w:line="240" w:lineRule="exact"/>
              <w:ind w:right="224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2.“双一流”“211计划”“985工程”全国重点建设高校大学本科毕业生可适当放宽条件；</w:t>
            </w:r>
          </w:p>
          <w:p w14:paraId="0347F7CD">
            <w:pPr>
              <w:spacing w:line="240" w:lineRule="exact"/>
              <w:ind w:right="224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特别优秀者可适当放宽条件。</w:t>
            </w:r>
          </w:p>
        </w:tc>
        <w:tc>
          <w:tcPr>
            <w:tcW w:w="412" w:type="pct"/>
            <w:vAlign w:val="center"/>
          </w:tcPr>
          <w:p w14:paraId="2618C8E0">
            <w:pPr>
              <w:pStyle w:val="2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093FE">
        <w:trPr>
          <w:trHeight w:val="2465" w:hRule="atLeast"/>
          <w:jc w:val="center"/>
        </w:trPr>
        <w:tc>
          <w:tcPr>
            <w:tcW w:w="284" w:type="pct"/>
            <w:tcBorders>
              <w:top w:val="single" w:color="auto" w:sz="4" w:space="0"/>
            </w:tcBorders>
            <w:vAlign w:val="center"/>
          </w:tcPr>
          <w:p w14:paraId="43C05427">
            <w:pPr>
              <w:spacing w:line="312" w:lineRule="exact"/>
              <w:jc w:val="center"/>
              <w:rPr>
                <w:rFonts w:ascii="黑体" w:hAnsi="黑体" w:eastAsia="黑体" w:cs="黑体"/>
                <w:color w:val="000000" w:themeColor="text1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" w:type="pct"/>
            <w:tcBorders>
              <w:top w:val="single" w:color="auto" w:sz="4" w:space="0"/>
            </w:tcBorders>
            <w:vAlign w:val="center"/>
          </w:tcPr>
          <w:p w14:paraId="1FD2027F">
            <w:pPr>
              <w:spacing w:before="75" w:line="238" w:lineRule="auto"/>
              <w:jc w:val="center"/>
              <w:rPr>
                <w:rFonts w:ascii="楷体" w:hAnsi="楷体" w:eastAsia="楷体" w:cs="楷体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薪酬考核</w:t>
            </w:r>
          </w:p>
          <w:p w14:paraId="26931C49">
            <w:pPr>
              <w:spacing w:line="223" w:lineRule="auto"/>
              <w:jc w:val="center"/>
              <w:rPr>
                <w:rFonts w:ascii="楷体" w:hAnsi="楷体" w:eastAsia="楷体" w:cs="楷体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253" w:type="pct"/>
            <w:tcBorders>
              <w:top w:val="single" w:color="auto" w:sz="4" w:space="0"/>
            </w:tcBorders>
            <w:vAlign w:val="center"/>
          </w:tcPr>
          <w:p w14:paraId="4EB06E8D">
            <w:pPr>
              <w:spacing w:line="312" w:lineRule="exact"/>
              <w:jc w:val="center"/>
              <w:rPr>
                <w:rFonts w:ascii="楷体" w:hAnsi="楷体" w:eastAsia="楷体" w:cs="楷体"/>
                <w:color w:val="000000" w:themeColor="text1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position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3" w:type="pct"/>
            <w:tcBorders>
              <w:top w:val="single" w:color="auto" w:sz="4" w:space="0"/>
            </w:tcBorders>
            <w:vAlign w:val="center"/>
          </w:tcPr>
          <w:p w14:paraId="45129E16">
            <w:pPr>
              <w:spacing w:line="223" w:lineRule="auto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1.负责编制或修订公司薪酬福利政策和管理制度；</w:t>
            </w:r>
          </w:p>
          <w:p w14:paraId="0B82C77F">
            <w:pPr>
              <w:spacing w:line="223" w:lineRule="auto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2.负责年度工资总额的预算、清算等工作；</w:t>
            </w:r>
          </w:p>
          <w:p w14:paraId="066C3002">
            <w:pPr>
              <w:spacing w:line="223" w:lineRule="auto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3.负责工资、绩效、奖励的核算、年度薪酬福利预算等工作；</w:t>
            </w:r>
          </w:p>
          <w:p w14:paraId="62BA6602">
            <w:pPr>
              <w:spacing w:line="223" w:lineRule="auto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4.负责编制招聘方案和组织培训等工作；</w:t>
            </w:r>
          </w:p>
          <w:p w14:paraId="2F401E0F">
            <w:pPr>
              <w:spacing w:line="223" w:lineRule="auto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5.负责公司员工年度考核工作的组织与实施。</w:t>
            </w:r>
          </w:p>
          <w:p w14:paraId="2840E3B0">
            <w:pPr>
              <w:spacing w:line="223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6.负责公司社会保险和住房公积金的计划和管理工作。</w:t>
            </w:r>
          </w:p>
        </w:tc>
        <w:tc>
          <w:tcPr>
            <w:tcW w:w="357" w:type="pct"/>
            <w:tcBorders>
              <w:top w:val="single" w:color="auto" w:sz="4" w:space="0"/>
            </w:tcBorders>
            <w:vAlign w:val="center"/>
          </w:tcPr>
          <w:p w14:paraId="41B1CB59">
            <w:pPr>
              <w:spacing w:before="75" w:line="224" w:lineRule="auto"/>
              <w:ind w:right="224"/>
              <w:rPr>
                <w:rFonts w:ascii="楷体" w:hAnsi="楷体" w:eastAsia="楷体" w:cs="楷体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 w:cs="楷体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楷体" w:hAnsi="楷体" w:eastAsia="楷体" w:cs="楷体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325" w:type="pct"/>
            <w:tcBorders>
              <w:top w:val="single" w:color="auto" w:sz="4" w:space="0"/>
            </w:tcBorders>
            <w:vAlign w:val="center"/>
          </w:tcPr>
          <w:p w14:paraId="009F8B93">
            <w:pPr>
              <w:spacing w:before="75" w:line="224" w:lineRule="auto"/>
              <w:ind w:right="224"/>
              <w:jc w:val="center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全日制大学本科</w:t>
            </w:r>
            <w:r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楷体" w:hAnsi="楷体" w:eastAsia="楷体" w:cs="楷体"/>
                <w:color w:val="000000" w:themeColor="text1"/>
                <w:spacing w:val="-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以上学历</w:t>
            </w:r>
          </w:p>
        </w:tc>
        <w:tc>
          <w:tcPr>
            <w:tcW w:w="437" w:type="pct"/>
            <w:tcBorders>
              <w:top w:val="single" w:color="auto" w:sz="4" w:space="0"/>
            </w:tcBorders>
            <w:vAlign w:val="center"/>
          </w:tcPr>
          <w:p w14:paraId="3FDE98E1">
            <w:pPr>
              <w:spacing w:before="75" w:line="224" w:lineRule="auto"/>
              <w:ind w:right="224"/>
              <w:rPr>
                <w:rFonts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人力资源管理、财务管理、会计学、经济学等专业。</w:t>
            </w:r>
          </w:p>
        </w:tc>
        <w:tc>
          <w:tcPr>
            <w:tcW w:w="1095" w:type="pct"/>
            <w:tcBorders>
              <w:top w:val="single" w:color="auto" w:sz="4" w:space="0"/>
            </w:tcBorders>
            <w:vAlign w:val="center"/>
          </w:tcPr>
          <w:p w14:paraId="2800D2A1">
            <w:pPr>
              <w:tabs>
                <w:tab w:val="left" w:pos="312"/>
              </w:tabs>
              <w:spacing w:line="240" w:lineRule="exact"/>
              <w:ind w:right="230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1.具有会计、经济职称。</w:t>
            </w:r>
          </w:p>
          <w:p w14:paraId="7C4243FB">
            <w:pPr>
              <w:tabs>
                <w:tab w:val="left" w:pos="312"/>
              </w:tabs>
              <w:spacing w:line="240" w:lineRule="exact"/>
              <w:ind w:right="230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2.全日制硕士研究生以上学历可适当放宽条件；</w:t>
            </w:r>
          </w:p>
          <w:p w14:paraId="32D0DBE0">
            <w:pPr>
              <w:spacing w:line="240" w:lineRule="exact"/>
              <w:ind w:right="224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3.“双一流”“211计划”“985工程”全国重点建设高校大学本科毕业生可适当放宽条件；</w:t>
            </w:r>
          </w:p>
          <w:p w14:paraId="57E62314">
            <w:pPr>
              <w:spacing w:line="240" w:lineRule="exact"/>
              <w:ind w:right="224"/>
              <w:rPr>
                <w:rFonts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楷体" w:hAnsi="楷体" w:eastAsia="楷体" w:cs="楷体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特别优秀者可适当放宽条件。</w:t>
            </w:r>
          </w:p>
        </w:tc>
        <w:tc>
          <w:tcPr>
            <w:tcW w:w="412" w:type="pct"/>
            <w:tcBorders>
              <w:top w:val="single" w:color="auto" w:sz="4" w:space="0"/>
            </w:tcBorders>
            <w:vAlign w:val="center"/>
          </w:tcPr>
          <w:p w14:paraId="33F99854">
            <w:pPr>
              <w:pStyle w:val="2"/>
              <w:jc w:val="center"/>
              <w:rPr>
                <w:rFonts w:hint="default" w:ascii="楷体" w:hAnsi="楷体" w:eastAsia="楷体" w:cs="楷体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498D6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0F3B3"/>
    <w:multiLevelType w:val="singleLevel"/>
    <w:tmpl w:val="C0B0F3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1A58BE"/>
    <w:multiLevelType w:val="singleLevel"/>
    <w:tmpl w:val="FB1A58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5F12A7"/>
    <w:rsid w:val="EF5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Office_6.8.0.8846_F1E327BC-269C-435d-A152-05C5408002CA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2026-07-04T17:38:00Z</dcterms:created>
  <dc:creator>衾伞</dc:creator>
  <cp:lastModifiedBy>衾伞</cp:lastModifiedBy>
  <dcterms:modified xsi:type="dcterms:W3CDTF">2026-07-04T17:40:49Z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2052-6.8.0.8846</vt:lpwstr>
  </property>
  <property fmtid="{D5CDD505-2E9C-101B-9397-08002B2CF9AE}" pid="3" name="ICV">
    <vt:lpwstr>CEB9D9BBB127B6678ED4486A08CA4AD8_41</vt:lpwstr>
  </property>
</Properties>
</file>